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81989" w14:paraId="47A3E01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6AC955" w14:textId="77777777" w:rsidR="0088198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4BAA6F5" w14:textId="77777777" w:rsidR="00881989" w:rsidRDefault="00000000">
            <w:pPr>
              <w:spacing w:after="0" w:line="240" w:lineRule="auto"/>
            </w:pPr>
            <w:r>
              <w:t>47551</w:t>
            </w:r>
          </w:p>
        </w:tc>
      </w:tr>
      <w:tr w:rsidR="00881989" w14:paraId="4692A96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4D9B3F0" w14:textId="77777777" w:rsidR="0088198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ED9049B" w14:textId="77777777" w:rsidR="00881989" w:rsidRDefault="00000000">
            <w:pPr>
              <w:spacing w:after="0" w:line="240" w:lineRule="auto"/>
            </w:pPr>
            <w:r>
              <w:t>ZAVOD ZA HITNU MEDICINU MEĐIMURSKE ŽUPANIJE</w:t>
            </w:r>
          </w:p>
        </w:tc>
      </w:tr>
      <w:tr w:rsidR="00881989" w14:paraId="6914AE5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7A320F" w14:textId="77777777" w:rsidR="0088198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1DF282B" w14:textId="77777777" w:rsidR="00881989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5972478E" w14:textId="77777777" w:rsidR="00881989" w:rsidRDefault="00000000">
      <w:r>
        <w:br/>
      </w:r>
    </w:p>
    <w:p w14:paraId="103009A6" w14:textId="77777777" w:rsidR="0088198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DEEF0D6" w14:textId="77777777" w:rsidR="0088198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299F8D0" w14:textId="77777777" w:rsidR="00881989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7EB30D0" w14:textId="77777777" w:rsidR="00881989" w:rsidRDefault="00881989"/>
    <w:p w14:paraId="34BC48BF" w14:textId="77777777" w:rsidR="0088198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63F8F2B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2D2A62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43EE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E45C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730D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A851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1D33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201C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573A80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70E63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8FB983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CD6B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61B8C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5.999.294,03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6BA75F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6.767.532,57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0B55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  <w:tr w:rsidR="00881989" w14:paraId="2AE2AE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FA00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BB31EA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76C423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F3C4B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5.266.342,54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C8F153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6.129.713,54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EBC17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116,4</w:t>
            </w:r>
          </w:p>
        </w:tc>
      </w:tr>
      <w:tr w:rsidR="00881989" w14:paraId="2BB2C8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861A1" w14:textId="77777777" w:rsidR="00881989" w:rsidRDefault="008819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D645A3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A6A7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1402F1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732.951,49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1C6F8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637.819,03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AF5C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87,0</w:t>
            </w:r>
          </w:p>
        </w:tc>
      </w:tr>
      <w:tr w:rsidR="00881989" w14:paraId="43AC1B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20D0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4A877C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C4D88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717B3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14.051,95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4F7D5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47CFF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881989" w14:paraId="461C0E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AC78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B603F9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3578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28BE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518.818,23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CC71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578.855,07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DEE4E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  <w:tr w:rsidR="00881989" w14:paraId="77A90E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ED794" w14:textId="77777777" w:rsidR="00881989" w:rsidRDefault="008819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81168A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A9AC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218F4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504.766,28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16FDA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578.855,07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CE3BA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114,7</w:t>
            </w:r>
          </w:p>
        </w:tc>
      </w:tr>
      <w:tr w:rsidR="00881989" w14:paraId="082985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857E3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405B7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26A7A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BC0A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9D96B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6E484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1989" w14:paraId="4C0C55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46343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90C54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DEB26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62D1EC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1BF84A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1198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1989" w14:paraId="4DB76B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8A2A4" w14:textId="77777777" w:rsidR="00881989" w:rsidRDefault="008819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941CA2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B4F63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16F5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854E9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E4A5C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81989" w14:paraId="20AE47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35981" w14:textId="77777777" w:rsidR="00881989" w:rsidRDefault="008819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AD668E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4345F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99F1BB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228.185,21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B8F3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58.963,96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2FE31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25,8</w:t>
            </w:r>
          </w:p>
        </w:tc>
      </w:tr>
    </w:tbl>
    <w:p w14:paraId="590992A1" w14:textId="77777777" w:rsidR="00881989" w:rsidRDefault="00881989">
      <w:pPr>
        <w:spacing w:after="0"/>
      </w:pPr>
    </w:p>
    <w:p w14:paraId="5F4B1449" w14:textId="77777777" w:rsidR="00881989" w:rsidRDefault="00000000">
      <w:r>
        <w:t xml:space="preserve">Prihodi i rashodi za izvještajno razdoblje iskazani su uz primjenu modificiranog računovodstvenog načela nastanka događaja, što znači da su prihodi priznati na temelju priljeva novčanih sredstava u izvještajnom razdoblju, a rashodi na temelju nastanka poslovnog događaja (obveza) neovisno o plaćanju. Zavod za hitnu medicinu Međimurske županije prema pokazateljima financijskog poslovanja u razdoblju od 01. siječnja do 31.prosinca 2025. godine ostvario je ukupne prihode u iznosu od 6.767.532,57 €, te ukupne </w:t>
      </w:r>
      <w:r>
        <w:lastRenderedPageBreak/>
        <w:t>rashode u iznosu 6.708.568,61 €, prilikom čega je nastao višak prihoda i primitaka nad rashodima u iznosu od 58.963,96 €.  Budući da preneseni manjak iz prethodne godine iznosi 40.134,72 €, na dan 31.12.2025.godine  korigirani višak prihoda iznosi 18.829,24 €.</w:t>
      </w:r>
    </w:p>
    <w:p w14:paraId="5E5620A4" w14:textId="77777777" w:rsidR="00881989" w:rsidRDefault="00000000">
      <w:r>
        <w:br/>
      </w:r>
    </w:p>
    <w:p w14:paraId="292F118A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38CE72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0AC6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3D4E0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A51D8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2955A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854EA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E903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5AE207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CDB99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215811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C7C10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03D43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149.697,41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EB302B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3D2F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C339C10" w14:textId="77777777" w:rsidR="00881989" w:rsidRDefault="00881989">
      <w:pPr>
        <w:spacing w:after="0"/>
      </w:pPr>
    </w:p>
    <w:p w14:paraId="52F6DE77" w14:textId="77777777" w:rsidR="00881989" w:rsidRDefault="00000000">
      <w:r>
        <w:t>Tekuće pomoći od ostalih subjekta – prihod u 2025. godini nije ostvaren jer  Vlada republike Hrvatske je dana 22. kolovoza 2024. godine donijela Odluku o stavljanju izvan snage odluka o posebnoj nagradi za obavljanje poslova pružanja skrbi pacijentima oboljelima od bolesti COVID-19.</w:t>
      </w:r>
    </w:p>
    <w:p w14:paraId="63C14E19" w14:textId="77777777" w:rsidR="00881989" w:rsidRDefault="00881989"/>
    <w:p w14:paraId="09DE113E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31EAF9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82A2D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6D21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6C31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6A05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328A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AE408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74A073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44641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B7EFA5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18A72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91AD8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E7ABBB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5.248,80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407E9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8B1AF1" w14:textId="77777777" w:rsidR="00881989" w:rsidRDefault="00881989">
      <w:pPr>
        <w:spacing w:after="0"/>
      </w:pPr>
    </w:p>
    <w:p w14:paraId="5595680A" w14:textId="77777777" w:rsidR="00881989" w:rsidRDefault="00000000">
      <w:r>
        <w:t>Tekuće pomoći proračunskim korisnicima iz proračuna koji im nije nadležan – u 2025. godini Zavod je sa Gradom Čakovcem ostario projekt nazvan „Spasi život“. Projekt je financiran 80 % od strane Grada, a ostatak iz vlastitih sredstava.</w:t>
      </w:r>
    </w:p>
    <w:p w14:paraId="5FC53554" w14:textId="77777777" w:rsidR="00881989" w:rsidRDefault="00881989"/>
    <w:p w14:paraId="2B9BAE5C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7F7DC9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CC6E8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770B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B424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A103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D85F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A43F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78C798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92EBF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43032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D61C9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D3BB5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212.192,52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84081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291.760,48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F8615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137,5</w:t>
            </w:r>
          </w:p>
        </w:tc>
      </w:tr>
    </w:tbl>
    <w:p w14:paraId="1C3D49F6" w14:textId="77777777" w:rsidR="00881989" w:rsidRDefault="00881989">
      <w:pPr>
        <w:spacing w:after="0"/>
      </w:pPr>
    </w:p>
    <w:p w14:paraId="764B2E6B" w14:textId="77777777" w:rsidR="00881989" w:rsidRDefault="00000000">
      <w:r>
        <w:t>Povećani prihodi u 2025. godini u odnosu na 2024.g. ostvareni temeljem prijenosa EU sredstava. Razlog povećanja prihoda su isplaćeni ZNS-ovi iz prijašnjih godina, koji 2024. nisu pratili dinamiku isplate, te isplata ZNS za specijalizacije medicinskih tehničara/med. sestri.</w:t>
      </w:r>
    </w:p>
    <w:p w14:paraId="3D40A6B9" w14:textId="77777777" w:rsidR="00881989" w:rsidRDefault="00881989"/>
    <w:p w14:paraId="7448D7C1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76D884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9EB1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BD10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DE76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45F8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1553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E3DE0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54F9FF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4FA0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D9B9F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0DCB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E09FCB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EE883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AEB85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15,2</w:t>
            </w:r>
          </w:p>
        </w:tc>
      </w:tr>
    </w:tbl>
    <w:p w14:paraId="15CF3F7E" w14:textId="77777777" w:rsidR="00881989" w:rsidRDefault="00881989">
      <w:pPr>
        <w:spacing w:after="0"/>
      </w:pPr>
    </w:p>
    <w:p w14:paraId="4AC38403" w14:textId="77777777" w:rsidR="00881989" w:rsidRDefault="00000000">
      <w:r>
        <w:t>Smanjen iznos s obzirom na 2024.g., zbog manjeg priljeva novca odnosno protoka novaca po žiro računu.</w:t>
      </w:r>
    </w:p>
    <w:p w14:paraId="49AC4C9E" w14:textId="77777777" w:rsidR="00881989" w:rsidRDefault="00000000">
      <w:r>
        <w:t> </w:t>
      </w:r>
    </w:p>
    <w:p w14:paraId="720427F5" w14:textId="77777777" w:rsidR="00881989" w:rsidRDefault="00881989"/>
    <w:p w14:paraId="247DC4B0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7BF7AF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F4FF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B307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E08A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E27CA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9414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B2DC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4D66A0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9EE95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E2B966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F4DC8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7AF5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53.246,26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DC97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82.628,56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58FB4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155,2</w:t>
            </w:r>
          </w:p>
        </w:tc>
      </w:tr>
    </w:tbl>
    <w:p w14:paraId="753537A3" w14:textId="77777777" w:rsidR="00881989" w:rsidRDefault="00881989">
      <w:pPr>
        <w:spacing w:after="0"/>
      </w:pPr>
    </w:p>
    <w:p w14:paraId="15A46439" w14:textId="77777777" w:rsidR="00881989" w:rsidRDefault="00000000">
      <w:r>
        <w:t>Povećan iznos zbog povećanog obujma sanitetskog prijevoza osobama bez obveznog zdravstvenog osiguranja, te zbog povećanog obima medicinskih osiguranja na javnom okupljanju.</w:t>
      </w:r>
    </w:p>
    <w:p w14:paraId="5EA5A9DC" w14:textId="77777777" w:rsidR="00881989" w:rsidRDefault="00881989"/>
    <w:p w14:paraId="14723DE2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1A12D7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CBC3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DCE98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B68A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B64F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CAFC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0DFB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4C8871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0A455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D49AA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FD11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5C42F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1.071,65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434F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11.971,70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FAA63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1117,1</w:t>
            </w:r>
          </w:p>
        </w:tc>
      </w:tr>
    </w:tbl>
    <w:p w14:paraId="297A1DE6" w14:textId="77777777" w:rsidR="00881989" w:rsidRDefault="00881989">
      <w:pPr>
        <w:spacing w:after="0"/>
      </w:pPr>
    </w:p>
    <w:p w14:paraId="4CD9BFF2" w14:textId="77777777" w:rsidR="00881989" w:rsidRDefault="00000000">
      <w:r>
        <w:t>Iznos povećan  u odnosu na 2024. godinu iz razloga što je Zavod za hitnu medicinu Međimurske županije primio donacije od fizičkih i pravnih osoba u povećanom obujmu. Primljena donacija od trgovačkih društva za nabavu televizora, kuhinjskog bloka, sredstva za održavanje Simpozija, jastuka i madraca, mobilni ultrazvuk.</w:t>
      </w:r>
    </w:p>
    <w:p w14:paraId="58A57404" w14:textId="77777777" w:rsidR="00881989" w:rsidRDefault="00881989"/>
    <w:p w14:paraId="5E6093C5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472BFC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1CFF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544E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10E8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7759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6D0D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67750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3D2AAE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6021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3B31F4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83264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1C426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608.344,43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ECAE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639.244,30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A26A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105,1</w:t>
            </w:r>
          </w:p>
        </w:tc>
      </w:tr>
    </w:tbl>
    <w:p w14:paraId="296B2983" w14:textId="77777777" w:rsidR="00881989" w:rsidRDefault="00881989">
      <w:pPr>
        <w:spacing w:after="0"/>
      </w:pPr>
    </w:p>
    <w:p w14:paraId="0F2447C8" w14:textId="77777777" w:rsidR="00881989" w:rsidRDefault="00000000">
      <w:r>
        <w:t>Decentralizirana sredstva Međimurske županije utrošena na tekuće i investicijsko održavanje medicinske opreme i prijevoznih sredstva za Djelatnost sanitetskog prijevoza i Djelatnost hitne medicine, auto-guma. Prihodi promijenjeni s obzirom na 2024. godinu zbog drugačije raspodjele decentraliziranih sredstava.</w:t>
      </w:r>
    </w:p>
    <w:p w14:paraId="7DE2782D" w14:textId="77777777" w:rsidR="00881989" w:rsidRDefault="00881989"/>
    <w:p w14:paraId="74296336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5AEA0C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FFB0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E822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4E69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E29E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B86D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00DB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745E2A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4E1FE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BEB8F1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9F66E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F9D9F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510.318,87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EB76E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485.013,79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FA23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</w:t>
            </w:r>
          </w:p>
        </w:tc>
      </w:tr>
    </w:tbl>
    <w:p w14:paraId="5B948ED6" w14:textId="77777777" w:rsidR="00881989" w:rsidRDefault="00881989">
      <w:pPr>
        <w:spacing w:after="0"/>
      </w:pPr>
    </w:p>
    <w:p w14:paraId="6D38998E" w14:textId="77777777" w:rsidR="00881989" w:rsidRDefault="00000000">
      <w:r>
        <w:t>Decentralizirana sredstva Međimurske županije kao osnivača, utrošena su na nabavu medicinske opreme i prijevoznih sredstva, a sukladnom Popisu prioriteta za 2025.g. </w:t>
      </w:r>
    </w:p>
    <w:p w14:paraId="2F67D96B" w14:textId="77777777" w:rsidR="00881989" w:rsidRDefault="00881989"/>
    <w:p w14:paraId="3E0CA906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66AC04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D2C2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3163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79A6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B9FF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476D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FBAB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233335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1ED82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718B5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C416F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670036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4.951.547,98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7FFCFF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5.701.393,71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9934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14:paraId="7EA79A1C" w14:textId="77777777" w:rsidR="00881989" w:rsidRDefault="00881989">
      <w:pPr>
        <w:spacing w:after="0"/>
      </w:pPr>
    </w:p>
    <w:p w14:paraId="7ED0110A" w14:textId="77777777" w:rsidR="00881989" w:rsidRDefault="00000000">
      <w:r>
        <w:t>Iznos povećan zbog povećanja paušala od strane Hrvatskog zavoda za zdravstveno osiguranje temeljem promjene iznosa vrijednosti timova u Ugovoru sa Hrvatskim zavodom za zdravstveno osiguranje, sukladno Odlukama o sklapanju Ugovora. Zavod je također u 2025. godini dobio timove u Djelatnosti sanitetskog prijevoza</w:t>
      </w:r>
    </w:p>
    <w:p w14:paraId="0F2AA9FE" w14:textId="77777777" w:rsidR="00881989" w:rsidRDefault="00881989"/>
    <w:p w14:paraId="72C82467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1BE5C5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966ED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E4DF7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1DB97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21F0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DFE7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8767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25B751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49B2E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222321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A86A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FC6A18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3.516.043,45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EE1C1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4.136.355,64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76414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14:paraId="04C217A7" w14:textId="77777777" w:rsidR="00881989" w:rsidRDefault="00881989">
      <w:pPr>
        <w:spacing w:after="0"/>
      </w:pPr>
    </w:p>
    <w:p w14:paraId="25121692" w14:textId="77777777" w:rsidR="00881989" w:rsidRDefault="00000000">
      <w:r>
        <w:lastRenderedPageBreak/>
        <w:t>Rashodi za plaće djelatnika su povećani proporcionalno zapošljavanju novih djelatnika i većih naknada za minuli rad svih djelatnika.</w:t>
      </w:r>
    </w:p>
    <w:p w14:paraId="41F89BA8" w14:textId="77777777" w:rsidR="00881989" w:rsidRDefault="00000000">
      <w:r>
        <w:t>S plaćom za mjesec ožujak 2025. godine radnicima koji rade u tjednom rasporedu isključivo u turnusu obračunava se dodatak od 5% na osnovnu plaću uvećanu za radni staž. Obračun dodatka za rad u turnusu isključuje obračun dodatka za rad u drugoj smjeni. Navedeni način isplate se ne odnosi na medicinska dežurstva i rad u tjednom rasporedu koji nije isključivo u turnusu već se za taj rad obračunava dodatak za rad u drugoj smjeni. S plaćom za veljaču 2025. godine povećana je osnovica za obračun plaće s 947,18 eura na 975,60 eura. S plaćom za rujan 2025. godine povećana je osnovica za obračun plaće s 975,60 eura na. 1,004,87 eura. Dodatak za rad noću je u 2025. godini povećan s 40% na 50%.</w:t>
      </w:r>
    </w:p>
    <w:p w14:paraId="797853D8" w14:textId="77777777" w:rsidR="00881989" w:rsidRDefault="00881989"/>
    <w:p w14:paraId="1835812E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1FFC71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970FD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08B5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ED5B0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87A30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42E3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E0FA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61F50D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2C6BA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DE92CE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2BC61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1C361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282.702,35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E160E3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435.939,19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EE005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154,2</w:t>
            </w:r>
          </w:p>
        </w:tc>
      </w:tr>
    </w:tbl>
    <w:p w14:paraId="112290DD" w14:textId="77777777" w:rsidR="00881989" w:rsidRDefault="00881989">
      <w:pPr>
        <w:spacing w:after="0"/>
      </w:pPr>
    </w:p>
    <w:p w14:paraId="761C2820" w14:textId="77777777" w:rsidR="00881989" w:rsidRDefault="00000000">
      <w:r>
        <w:t>Iznos povećan u 2025. godini jer je Zavod za hitnu medicinu Međimurske županije zbog nedostatka liječnika i medicinskih tehničara na specijalizaciji, te se proporcionalno tome povećavaju sati prekovremenog rada prisutnih liječnika.</w:t>
      </w:r>
    </w:p>
    <w:p w14:paraId="313C5C85" w14:textId="77777777" w:rsidR="00881989" w:rsidRDefault="00881989"/>
    <w:p w14:paraId="73B62EC2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025EB0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CBD8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F404D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2B18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13C9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D6D2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243C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5748D2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43099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192392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6552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E4BF8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193.970,54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A5361F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A129C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FB5AF99" w14:textId="77777777" w:rsidR="00881989" w:rsidRDefault="00881989">
      <w:pPr>
        <w:spacing w:after="0"/>
      </w:pPr>
    </w:p>
    <w:p w14:paraId="181E40B9" w14:textId="77777777" w:rsidR="00881989" w:rsidRDefault="00000000">
      <w:r>
        <w:t>Od ožujka 2024. godine ukinut je dodatak za posebne uvjete rada Uredbom o koeficijentima, stoga nema prihoda s te osnove.</w:t>
      </w:r>
    </w:p>
    <w:p w14:paraId="5BA5BF43" w14:textId="77777777" w:rsidR="00881989" w:rsidRDefault="00000000">
      <w:r>
        <w:t> </w:t>
      </w:r>
    </w:p>
    <w:p w14:paraId="00A7672D" w14:textId="77777777" w:rsidR="00881989" w:rsidRDefault="00881989"/>
    <w:p w14:paraId="312DEA29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5BE02D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D054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1619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96400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E29C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629C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CEF9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5C96B6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BCE4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362C19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6A9E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0CF46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136.685,72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C676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141.954,83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8A6E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103,9</w:t>
            </w:r>
          </w:p>
        </w:tc>
      </w:tr>
    </w:tbl>
    <w:p w14:paraId="1CF60889" w14:textId="77777777" w:rsidR="00881989" w:rsidRDefault="00881989">
      <w:pPr>
        <w:spacing w:after="0"/>
      </w:pPr>
    </w:p>
    <w:p w14:paraId="25B22B57" w14:textId="77777777" w:rsidR="00881989" w:rsidRDefault="00000000">
      <w:r>
        <w:lastRenderedPageBreak/>
        <w:t xml:space="preserve">U 2025. godini  je isplaćena </w:t>
      </w:r>
      <w:proofErr w:type="spellStart"/>
      <w:r>
        <w:t>uskrsnica</w:t>
      </w:r>
      <w:proofErr w:type="spellEnd"/>
      <w:r>
        <w:t xml:space="preserve"> u iznosu od 100 eura, regres i božićnica u iznosu od 300 eura, dar za djecu u iznosu od 100 eura po djetetu do 15 godina starosti.</w:t>
      </w:r>
    </w:p>
    <w:p w14:paraId="3F356B97" w14:textId="77777777" w:rsidR="00881989" w:rsidRDefault="00881989"/>
    <w:p w14:paraId="7F6D6887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75B635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FF9B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C49F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F143A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7BA1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A764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80937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5909EE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A1956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EAF6CC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AC1EE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EAECA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18.220,08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4415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43.470,38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C7FA6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238,6</w:t>
            </w:r>
          </w:p>
        </w:tc>
      </w:tr>
    </w:tbl>
    <w:p w14:paraId="6D1367FA" w14:textId="77777777" w:rsidR="00881989" w:rsidRDefault="00881989">
      <w:pPr>
        <w:spacing w:after="0"/>
      </w:pPr>
    </w:p>
    <w:p w14:paraId="1C88E074" w14:textId="77777777" w:rsidR="00881989" w:rsidRDefault="00000000">
      <w:r>
        <w:t xml:space="preserve">Povećan iznos zbog sudjelovanja  djelatnika na edukacijama i stručnim usavršavanjima, licenciranje IHMS (novih djelatnika) i </w:t>
      </w:r>
      <w:proofErr w:type="spellStart"/>
      <w:r>
        <w:t>relicenciranje</w:t>
      </w:r>
      <w:proofErr w:type="spellEnd"/>
      <w:r>
        <w:t>, te odlaska djelatnika na stručni skupove  za djelatnike hitne medicine koje se održava svake druge godine (npr. Kongres hitne medicine Vodice i tečajevi Propedeutike financirani od strane EU).</w:t>
      </w:r>
    </w:p>
    <w:p w14:paraId="4A1774B8" w14:textId="77777777" w:rsidR="00881989" w:rsidRDefault="00881989"/>
    <w:p w14:paraId="00E581A0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305DD6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A953D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C354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3D9C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7697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695FD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4B98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5923AD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93CB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CAEE5C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6E38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F3EDB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39.292,64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F4515F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4.207,99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27EB5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10,7</w:t>
            </w:r>
          </w:p>
        </w:tc>
      </w:tr>
    </w:tbl>
    <w:p w14:paraId="48BF7B51" w14:textId="77777777" w:rsidR="00881989" w:rsidRDefault="00881989">
      <w:pPr>
        <w:spacing w:after="0"/>
      </w:pPr>
    </w:p>
    <w:p w14:paraId="74EAAFC9" w14:textId="77777777" w:rsidR="00881989" w:rsidRDefault="00000000">
      <w:r>
        <w:t>Rashodi su smanjeni zbog promjene konta knjiženja lijekova i medicinskog potrošnog materijala sukladno novom pravilniku važećem od 01.01.2025.</w:t>
      </w:r>
    </w:p>
    <w:p w14:paraId="6A66984B" w14:textId="77777777" w:rsidR="00881989" w:rsidRDefault="00881989"/>
    <w:p w14:paraId="7CED7332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39530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9525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8427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9F8C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9398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04D4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16BD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60F53A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59BAF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826975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48206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CF5D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17.233,30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FF6ABB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34.339,45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E621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199,3</w:t>
            </w:r>
          </w:p>
        </w:tc>
      </w:tr>
    </w:tbl>
    <w:p w14:paraId="3AC2270C" w14:textId="77777777" w:rsidR="00881989" w:rsidRDefault="00881989">
      <w:pPr>
        <w:spacing w:after="0"/>
      </w:pPr>
    </w:p>
    <w:p w14:paraId="4560D505" w14:textId="77777777" w:rsidR="00881989" w:rsidRDefault="00000000">
      <w:r>
        <w:t>Rashodi su povećani zbog povećanja broja vozila i čestih kvarova i popravaka na službenim vozilima.</w:t>
      </w:r>
    </w:p>
    <w:p w14:paraId="2ED8FC9B" w14:textId="77777777" w:rsidR="00881989" w:rsidRDefault="00881989"/>
    <w:p w14:paraId="555F8D57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6DD85E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E23F0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58628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8697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22E1A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F86A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E254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2BB4AE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5A6F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D3031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B178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32FB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18.087,70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9B7B3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24.144,71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932F4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14:paraId="4D8AF825" w14:textId="77777777" w:rsidR="00881989" w:rsidRDefault="00881989">
      <w:pPr>
        <w:spacing w:after="0"/>
      </w:pPr>
    </w:p>
    <w:p w14:paraId="675E90AF" w14:textId="77777777" w:rsidR="00881989" w:rsidRDefault="00000000">
      <w:r>
        <w:lastRenderedPageBreak/>
        <w:t>U 2025. godini bilježimo porast troškova sitnog inventara i auto guma u odnosu na 2024. godinu zbog povećane nabave auta guma za novonabavljena vozila te povećanja troškova sitnog inventara za namještanje Edukacijskog centra u prostoru Zavoda za hitnu medicinu Međimurske županije.</w:t>
      </w:r>
    </w:p>
    <w:p w14:paraId="31E18355" w14:textId="77777777" w:rsidR="00881989" w:rsidRDefault="00881989"/>
    <w:p w14:paraId="33783417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691C1F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3128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A730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C816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E2C4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59F6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0CC5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5F444F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311F5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4CBEE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040E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6B6C8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F00D4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84.633,74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FAD9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7818,4</w:t>
            </w:r>
          </w:p>
        </w:tc>
      </w:tr>
    </w:tbl>
    <w:p w14:paraId="5AB47248" w14:textId="77777777" w:rsidR="00881989" w:rsidRDefault="00881989">
      <w:pPr>
        <w:spacing w:after="0"/>
      </w:pPr>
    </w:p>
    <w:p w14:paraId="579125D2" w14:textId="77777777" w:rsidR="00881989" w:rsidRDefault="00000000">
      <w:r>
        <w:t>Za djelatnike Zavoda u Djelatnosti sanitetskog prijevoza nabavljena je nova zaštitna radna odjeća i obuća a sukladno Standardu zaštitne radne odjeće, obuće i osobne zaštitne opreme radnika izvanbolničke hitne medicinske službe u Republici Hrvatskoj</w:t>
      </w:r>
    </w:p>
    <w:p w14:paraId="7664D82E" w14:textId="77777777" w:rsidR="00881989" w:rsidRDefault="00881989"/>
    <w:p w14:paraId="15C65653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03D7E0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A5A2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0BC17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CB45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0573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E7D0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F10E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5A23D4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E4202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F70F69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6E9F6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A72C3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11.931,16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1680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14.470,53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F9494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14:paraId="2BA29B55" w14:textId="77777777" w:rsidR="00881989" w:rsidRDefault="00881989">
      <w:pPr>
        <w:spacing w:after="0"/>
      </w:pPr>
    </w:p>
    <w:p w14:paraId="182DE559" w14:textId="77777777" w:rsidR="00881989" w:rsidRDefault="00000000">
      <w:r>
        <w:t>Rashodi povećani zbog povećanja cijena telekomunikacijskim usluga.</w:t>
      </w:r>
    </w:p>
    <w:p w14:paraId="33C4362A" w14:textId="77777777" w:rsidR="00881989" w:rsidRDefault="00881989"/>
    <w:p w14:paraId="095EB0E5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2A89C1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4E72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5AD1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D71D0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4367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96CE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30028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570FE6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36E4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6A585C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C8E9A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777DE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85.065,46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E7C4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121.263,19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1A627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142,6</w:t>
            </w:r>
          </w:p>
        </w:tc>
      </w:tr>
    </w:tbl>
    <w:p w14:paraId="17FD7685" w14:textId="77777777" w:rsidR="00881989" w:rsidRDefault="00881989">
      <w:pPr>
        <w:spacing w:after="0"/>
      </w:pPr>
    </w:p>
    <w:p w14:paraId="71B89059" w14:textId="77777777" w:rsidR="00881989" w:rsidRDefault="00000000">
      <w:r>
        <w:t xml:space="preserve">Rashodi povećani s obzirom na povećani broj popravaka službenih vozila, sklapanja Ugovora za održavanje mrežne i virtualne infrastrukture i povećanja cijena licenca sustava </w:t>
      </w:r>
      <w:proofErr w:type="spellStart"/>
      <w:r>
        <w:t>eHitna</w:t>
      </w:r>
      <w:proofErr w:type="spellEnd"/>
      <w:r>
        <w:t xml:space="preserve"> i </w:t>
      </w:r>
      <w:proofErr w:type="spellStart"/>
      <w:r>
        <w:t>eSanitet</w:t>
      </w:r>
      <w:proofErr w:type="spellEnd"/>
      <w:r>
        <w:t>. </w:t>
      </w:r>
    </w:p>
    <w:p w14:paraId="5086A3D6" w14:textId="77777777" w:rsidR="00881989" w:rsidRDefault="00881989"/>
    <w:p w14:paraId="58482C2C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09DD74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36F3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FA6D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16A78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E2C9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0D8F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08C9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1B5384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62242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ECEC49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169B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23A7E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4.941,89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7AF4E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10.069,08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10E05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203,7</w:t>
            </w:r>
          </w:p>
        </w:tc>
      </w:tr>
    </w:tbl>
    <w:p w14:paraId="6E177BCE" w14:textId="77777777" w:rsidR="00881989" w:rsidRDefault="00881989">
      <w:pPr>
        <w:spacing w:after="0"/>
      </w:pPr>
    </w:p>
    <w:p w14:paraId="15F57C6F" w14:textId="77777777" w:rsidR="00881989" w:rsidRDefault="00000000">
      <w:r>
        <w:t>Rashodi povećani zbog projekata koji su se provodili u 2025. godini.</w:t>
      </w:r>
    </w:p>
    <w:p w14:paraId="05B365B3" w14:textId="77777777" w:rsidR="00881989" w:rsidRDefault="00881989"/>
    <w:p w14:paraId="4E51406B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27D03C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1322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D972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C6140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BA30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90D2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B001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2A4494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C2DDC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985625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DA1C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4556A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20.087,82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DA2BF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3.961,95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927B1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19,7</w:t>
            </w:r>
          </w:p>
        </w:tc>
      </w:tr>
    </w:tbl>
    <w:p w14:paraId="24106504" w14:textId="77777777" w:rsidR="00881989" w:rsidRDefault="00881989">
      <w:pPr>
        <w:spacing w:after="0"/>
      </w:pPr>
    </w:p>
    <w:p w14:paraId="240005CC" w14:textId="77777777" w:rsidR="00881989" w:rsidRDefault="00000000">
      <w:r>
        <w:t>Rashodi smanjeni jer u 2025. godini nije bilo obveze dopunskih sistematskih pregleda djelatnika.</w:t>
      </w:r>
    </w:p>
    <w:p w14:paraId="2FEB378E" w14:textId="77777777" w:rsidR="00881989" w:rsidRDefault="00881989"/>
    <w:p w14:paraId="6DBF1142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1829C2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6068A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5B5D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D236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36E9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6B10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35F3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4C2678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F9D42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E097F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3826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F6E61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6.015,58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A76D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16.039,65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D5298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266,6</w:t>
            </w:r>
          </w:p>
        </w:tc>
      </w:tr>
    </w:tbl>
    <w:p w14:paraId="7ADFD95B" w14:textId="77777777" w:rsidR="00881989" w:rsidRDefault="00881989">
      <w:pPr>
        <w:spacing w:after="0"/>
      </w:pPr>
    </w:p>
    <w:p w14:paraId="78A27B68" w14:textId="77777777" w:rsidR="00881989" w:rsidRDefault="00000000">
      <w:r>
        <w:t xml:space="preserve">Iznos povećan s obzirom na 2024. godinu zbog češćih provođenja </w:t>
      </w:r>
      <w:proofErr w:type="spellStart"/>
      <w:r>
        <w:t>relicenciranja</w:t>
      </w:r>
      <w:proofErr w:type="spellEnd"/>
      <w:r>
        <w:t>, koje su obvezna edukacija djelatnika Zavoda za hitnu medicinu. Iznos se povećava proporcionalno zapošljavanju djelatnika (dr. med, te zamjene za medicinske tehničare na specijalizaciji). </w:t>
      </w:r>
    </w:p>
    <w:p w14:paraId="0C652EA9" w14:textId="77777777" w:rsidR="00881989" w:rsidRDefault="00881989"/>
    <w:p w14:paraId="20BBAFD6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211094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55F2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181F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4A0A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4D7B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3D97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AE2ED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43A16F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1D329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2A80A8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6708A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68513A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0D18C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12.599,99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3B989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231,7</w:t>
            </w:r>
          </w:p>
        </w:tc>
      </w:tr>
    </w:tbl>
    <w:p w14:paraId="234AB356" w14:textId="77777777" w:rsidR="00881989" w:rsidRDefault="00881989">
      <w:pPr>
        <w:spacing w:after="0"/>
      </w:pPr>
    </w:p>
    <w:p w14:paraId="03CEB600" w14:textId="77777777" w:rsidR="00881989" w:rsidRDefault="00000000">
      <w:r>
        <w:t>Rashodi povećani zbog povećanog broja tehničkih i preventivnih pregleda vozila i ugovaranja usluge zaštitarske službe.</w:t>
      </w:r>
    </w:p>
    <w:p w14:paraId="2C28C39E" w14:textId="77777777" w:rsidR="00881989" w:rsidRDefault="00881989"/>
    <w:p w14:paraId="32E53EEB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22BD61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B91E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8AD7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3C60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1214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5C09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A0BA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034CED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54494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8CB1BC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 osnovi utroška lijekova i potrošnog medicinskog materijala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B844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EE2A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28E28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41.415,18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63931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94CE6D6" w14:textId="77777777" w:rsidR="00881989" w:rsidRDefault="00881989">
      <w:pPr>
        <w:spacing w:after="0"/>
      </w:pPr>
    </w:p>
    <w:p w14:paraId="56406D25" w14:textId="77777777" w:rsidR="00881989" w:rsidRDefault="00000000">
      <w:r>
        <w:t>Knjiženje na novi konto sukladno novom pravilniku važećem od 01.01.2025.</w:t>
      </w:r>
    </w:p>
    <w:p w14:paraId="00A80747" w14:textId="77777777" w:rsidR="00881989" w:rsidRDefault="00881989"/>
    <w:p w14:paraId="492BD24F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65F024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FFE4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B16C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69FFA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3E3B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35ED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A078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4F0242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6EE83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19005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EE0E6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6A27C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19.497,00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43B19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25.625,91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C15F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14:paraId="24B91A78" w14:textId="77777777" w:rsidR="00881989" w:rsidRDefault="00881989">
      <w:pPr>
        <w:spacing w:after="0"/>
      </w:pPr>
    </w:p>
    <w:p w14:paraId="6C392CE8" w14:textId="77777777" w:rsidR="00881989" w:rsidRDefault="00000000">
      <w:r>
        <w:t>Iznos povećan s obzirom na povećanje broja vozila u Djelatnosti sanitetskog prijevoza, te Djelatnosti hitne medicine i povećanje cijene polica auto osiguranja i auto kasko. Također je ugovorena polica osiguranja od profesionalne odgovornosti i osiguranje djelatnika od nezgode.</w:t>
      </w:r>
    </w:p>
    <w:p w14:paraId="687CACC6" w14:textId="77777777" w:rsidR="00881989" w:rsidRDefault="00881989"/>
    <w:p w14:paraId="11FD28BC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4E945D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070FD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B78B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215E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E7B6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12BB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794CD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7BB157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6E031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638115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BCED4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A90C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1F6F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D451E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402,0</w:t>
            </w:r>
          </w:p>
        </w:tc>
      </w:tr>
    </w:tbl>
    <w:p w14:paraId="5D74E8E3" w14:textId="77777777" w:rsidR="00881989" w:rsidRDefault="00881989">
      <w:pPr>
        <w:spacing w:after="0"/>
      </w:pPr>
    </w:p>
    <w:p w14:paraId="69172E18" w14:textId="77777777" w:rsidR="00881989" w:rsidRDefault="00000000">
      <w:r>
        <w:t>Rashodi povećani u odnosu na 2024. zbog provedbe projekata i edukacija za djelatnike i vanjske suradnike.</w:t>
      </w:r>
    </w:p>
    <w:p w14:paraId="3950428F" w14:textId="77777777" w:rsidR="00881989" w:rsidRDefault="00881989"/>
    <w:p w14:paraId="57163ABE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0C4F6A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88037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B74C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AE17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935ED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6A3C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7067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6FDA3A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A3377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854F9E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C561C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9057B8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22F19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5924B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084E91" w14:textId="77777777" w:rsidR="00881989" w:rsidRDefault="00881989">
      <w:pPr>
        <w:spacing w:after="0"/>
      </w:pPr>
    </w:p>
    <w:p w14:paraId="33BAD1F0" w14:textId="77777777" w:rsidR="00881989" w:rsidRDefault="00000000">
      <w:r>
        <w:t xml:space="preserve">Zemljište - nabavljeno zemljište u Čakovcu za potrebe gradnje i </w:t>
      </w:r>
      <w:proofErr w:type="spellStart"/>
      <w:r>
        <w:t>rekontrukcije</w:t>
      </w:r>
      <w:proofErr w:type="spellEnd"/>
      <w:r>
        <w:t xml:space="preserve"> servisno tehničkog centra</w:t>
      </w:r>
    </w:p>
    <w:p w14:paraId="2114C60C" w14:textId="77777777" w:rsidR="00881989" w:rsidRDefault="00881989"/>
    <w:p w14:paraId="34FE7661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54AF3B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02DA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4EF70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247E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CFC7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E977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533C0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00094A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EC880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DEC073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Licence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9CF7A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92AA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700E5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A270F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11,0</w:t>
            </w:r>
          </w:p>
        </w:tc>
      </w:tr>
    </w:tbl>
    <w:p w14:paraId="7F7951F2" w14:textId="77777777" w:rsidR="00881989" w:rsidRDefault="00881989">
      <w:pPr>
        <w:spacing w:after="0"/>
      </w:pPr>
    </w:p>
    <w:p w14:paraId="6C49B802" w14:textId="77777777" w:rsidR="00881989" w:rsidRDefault="00000000">
      <w:r>
        <w:t>Nabavljene su licence za Windows za novo nabavljena računala.</w:t>
      </w:r>
    </w:p>
    <w:p w14:paraId="63251F62" w14:textId="77777777" w:rsidR="00881989" w:rsidRDefault="00881989"/>
    <w:p w14:paraId="2231D9C8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10DD21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C85B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21F2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145F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64D8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824D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AC67A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1699D6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B4F99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094C1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9E2D4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FC73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B6267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16.221,39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ACAFA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438,6</w:t>
            </w:r>
          </w:p>
        </w:tc>
      </w:tr>
    </w:tbl>
    <w:p w14:paraId="26C8B145" w14:textId="77777777" w:rsidR="00881989" w:rsidRDefault="00881989">
      <w:pPr>
        <w:spacing w:after="0"/>
      </w:pPr>
    </w:p>
    <w:p w14:paraId="7C4579EE" w14:textId="77777777" w:rsidR="00881989" w:rsidRDefault="00000000">
      <w:r>
        <w:t>Tijekom 2025. godine nabavljene su uredske stolice, blagovaonski stol i stolice, garderobni i uredski ormari, dvije kuhinje (jedna u donaciji), prijenosno računalo, monitor, printeri, osobna računala, izrađivač etiketa i tablet iPad u donaciji</w:t>
      </w:r>
    </w:p>
    <w:p w14:paraId="1063A5D0" w14:textId="77777777" w:rsidR="00881989" w:rsidRDefault="00881989"/>
    <w:p w14:paraId="59DCC3E6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6A9B50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4364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2447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85AF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5E31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58F7E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EC01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18767D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6EEFA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ED4BEA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60CD9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7CD8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4.869,30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589A3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35.454,00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E3651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728,1</w:t>
            </w:r>
          </w:p>
        </w:tc>
      </w:tr>
    </w:tbl>
    <w:p w14:paraId="14C88413" w14:textId="77777777" w:rsidR="00881989" w:rsidRDefault="00881989">
      <w:pPr>
        <w:spacing w:after="0"/>
      </w:pPr>
    </w:p>
    <w:p w14:paraId="6B7F841F" w14:textId="77777777" w:rsidR="00881989" w:rsidRDefault="00000000">
      <w:r>
        <w:t xml:space="preserve">Nabavljeni televizor iz donacije, </w:t>
      </w:r>
      <w:proofErr w:type="spellStart"/>
      <w:r>
        <w:t>tetra</w:t>
      </w:r>
      <w:proofErr w:type="spellEnd"/>
      <w:r>
        <w:t xml:space="preserve"> uređaji za vozila sa radijskom postajom i snimačem, službeni mobiteli, i UPS uređaj za neprekidno napajanje.</w:t>
      </w:r>
    </w:p>
    <w:p w14:paraId="15FC9472" w14:textId="77777777" w:rsidR="00881989" w:rsidRDefault="00881989"/>
    <w:p w14:paraId="15D7A492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46728B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12FA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D3557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41C2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7E97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36A8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A3B5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67836B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A67EE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21E63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A5E4A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503C9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02793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ADBE9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C42414" w14:textId="77777777" w:rsidR="00881989" w:rsidRDefault="00881989">
      <w:pPr>
        <w:spacing w:after="0"/>
      </w:pPr>
    </w:p>
    <w:p w14:paraId="7AA8D606" w14:textId="77777777" w:rsidR="00881989" w:rsidRDefault="00000000">
      <w:r>
        <w:t>Nabavljeni električni bojler, klima uređaj i usisivač.</w:t>
      </w:r>
    </w:p>
    <w:p w14:paraId="3A279E50" w14:textId="77777777" w:rsidR="00881989" w:rsidRDefault="00881989"/>
    <w:p w14:paraId="1CF13FE7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5F1951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D366A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D74D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96C4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C7EE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DD90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B012F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6F4A7C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E2498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AECC82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889A4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5406F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190.397,61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58C5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33.962,16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67B7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17,8</w:t>
            </w:r>
          </w:p>
        </w:tc>
      </w:tr>
    </w:tbl>
    <w:p w14:paraId="179B4F81" w14:textId="77777777" w:rsidR="00881989" w:rsidRDefault="00881989">
      <w:pPr>
        <w:spacing w:after="0"/>
      </w:pPr>
    </w:p>
    <w:p w14:paraId="3C45D1D1" w14:textId="77777777" w:rsidR="00881989" w:rsidRDefault="00000000">
      <w:r>
        <w:t xml:space="preserve">Tijekom 2025. godine nabavljeni su zaštitna ograda za kolica u vozilu, medicinske lutke i simulatori za potrebe edukacijskog centra, model za vježbu </w:t>
      </w:r>
      <w:proofErr w:type="spellStart"/>
      <w:r>
        <w:t>konikotomije</w:t>
      </w:r>
      <w:proofErr w:type="spellEnd"/>
      <w:r>
        <w:t xml:space="preserve">, set lutaka i simulator za praćenje uspješnosti, pedijatrijski vakuum madrac u donaciji, ultrazvučna </w:t>
      </w:r>
      <w:proofErr w:type="spellStart"/>
      <w:r>
        <w:t>bežićna</w:t>
      </w:r>
      <w:proofErr w:type="spellEnd"/>
      <w:r>
        <w:t xml:space="preserve"> sonda u donaciji.</w:t>
      </w:r>
    </w:p>
    <w:p w14:paraId="5D8F237A" w14:textId="77777777" w:rsidR="00881989" w:rsidRDefault="00881989"/>
    <w:p w14:paraId="5750F661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75F714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8D92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EA46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6B07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D321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7097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3497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093D08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5045D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E5372E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2BFE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97CE7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5.924,66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97E4B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7.657,52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EA498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14:paraId="056F8D3F" w14:textId="77777777" w:rsidR="00881989" w:rsidRDefault="00881989">
      <w:pPr>
        <w:spacing w:after="0"/>
      </w:pPr>
    </w:p>
    <w:p w14:paraId="238A6494" w14:textId="77777777" w:rsidR="00881989" w:rsidRDefault="00000000">
      <w:r>
        <w:t xml:space="preserve">Tijekom 2025. godine nabavljeni su stetoskopi, tlakomjeri, </w:t>
      </w:r>
      <w:proofErr w:type="spellStart"/>
      <w:r>
        <w:t>pulsni</w:t>
      </w:r>
      <w:proofErr w:type="spellEnd"/>
      <w:r>
        <w:t xml:space="preserve"> </w:t>
      </w:r>
      <w:proofErr w:type="spellStart"/>
      <w:r>
        <w:t>oksimetri</w:t>
      </w:r>
      <w:proofErr w:type="spellEnd"/>
      <w:r>
        <w:t xml:space="preserve"> i senzori SpO2</w:t>
      </w:r>
    </w:p>
    <w:p w14:paraId="0F413603" w14:textId="77777777" w:rsidR="00881989" w:rsidRDefault="00881989"/>
    <w:p w14:paraId="53C1D3DA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567BD8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925F7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2516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A43C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7BF5A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4BC28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329E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22E639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1DA5F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935875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57A90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2BBC08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950F4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7.560,38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3768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2D9A3D" w14:textId="77777777" w:rsidR="00881989" w:rsidRDefault="00881989">
      <w:pPr>
        <w:spacing w:after="0"/>
      </w:pPr>
    </w:p>
    <w:p w14:paraId="71831D41" w14:textId="77777777" w:rsidR="00881989" w:rsidRDefault="00000000">
      <w:r>
        <w:t xml:space="preserve">Tijekom 2025. godine nabavljeni su hladnjaci, perilica za suđe, uređaji za pročišćavanje, hlađenje i grijanje vode, GPS </w:t>
      </w:r>
      <w:proofErr w:type="spellStart"/>
      <w:r>
        <w:t>teltonike</w:t>
      </w:r>
      <w:proofErr w:type="spellEnd"/>
      <w:r>
        <w:t>,  set vakuum udlaga s pumpom i torbom,  </w:t>
      </w:r>
      <w:proofErr w:type="spellStart"/>
      <w:r>
        <w:t>samošireći</w:t>
      </w:r>
      <w:proofErr w:type="spellEnd"/>
      <w:r>
        <w:t xml:space="preserve"> baloni za reanimaciju, silikonske maske za reanimaciju, pedijatrijske sonde, manžete za nadlakticu i kolica </w:t>
      </w:r>
      <w:proofErr w:type="spellStart"/>
      <w:r>
        <w:t>inox</w:t>
      </w:r>
      <w:proofErr w:type="spellEnd"/>
    </w:p>
    <w:p w14:paraId="4E0633A2" w14:textId="77777777" w:rsidR="00881989" w:rsidRDefault="00881989"/>
    <w:p w14:paraId="5EF7B2C7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279086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26FD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91BAB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7281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8EFD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4DE0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64F6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2EA25B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94CC3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52CE3A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E4470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544D75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2C7A5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F1B2C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143,7</w:t>
            </w:r>
          </w:p>
        </w:tc>
      </w:tr>
    </w:tbl>
    <w:p w14:paraId="259FE228" w14:textId="77777777" w:rsidR="00881989" w:rsidRDefault="00881989">
      <w:pPr>
        <w:spacing w:after="0"/>
      </w:pPr>
    </w:p>
    <w:p w14:paraId="01B3E483" w14:textId="77777777" w:rsidR="00881989" w:rsidRDefault="00000000">
      <w:r>
        <w:t>U 2025. godini nabavljena su dva sanitetska cestovna vozila, te dva medicinska vozila za Djelatnost hitne medicine</w:t>
      </w:r>
    </w:p>
    <w:p w14:paraId="6D52301B" w14:textId="77777777" w:rsidR="00881989" w:rsidRDefault="00881989"/>
    <w:p w14:paraId="050C76B2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5E5980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2510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B1C2A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4279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F8567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D871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3C8C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121BFD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A9AFC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086E1E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5540E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26914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12.767,42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A1063F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48.312,50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97F79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378,4</w:t>
            </w:r>
          </w:p>
        </w:tc>
      </w:tr>
    </w:tbl>
    <w:p w14:paraId="56DCE312" w14:textId="77777777" w:rsidR="00881989" w:rsidRDefault="00881989">
      <w:pPr>
        <w:spacing w:after="0"/>
      </w:pPr>
    </w:p>
    <w:p w14:paraId="7300197B" w14:textId="77777777" w:rsidR="00881989" w:rsidRDefault="00000000">
      <w:r>
        <w:t>Zavod je sukladno idejnim projektima izradio  glavne  projekte za ispostavu Prelog i te reviziju idejnog projekta servisno-tehnički centar sa sletnim mjestom za helikopter.</w:t>
      </w:r>
    </w:p>
    <w:p w14:paraId="65DE6BC2" w14:textId="77777777" w:rsidR="00881989" w:rsidRDefault="00881989"/>
    <w:p w14:paraId="20D8D6DB" w14:textId="77777777" w:rsidR="0088198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9B7602F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27FA37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1AFA2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BBB69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171A7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1EA9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14AF1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4E035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38AD8B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5B471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881D01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Opće medicinske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D93EB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06F12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5.785.160,77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1D111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6.708.568,61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E569D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14:paraId="74DD89C3" w14:textId="77777777" w:rsidR="00881989" w:rsidRDefault="00881989">
      <w:pPr>
        <w:spacing w:after="0"/>
      </w:pPr>
    </w:p>
    <w:p w14:paraId="71FB0469" w14:textId="77777777" w:rsidR="00881989" w:rsidRDefault="00000000">
      <w:r>
        <w:t>Opće medicinske usluge - prema funkcijskoj klasifikaciji Zavod za hitnu medicinu Međimurske županije je u 2025. godini ostvario ukupne rashode u iznosu 6.708.568,61 €.</w:t>
      </w:r>
    </w:p>
    <w:p w14:paraId="45E512AD" w14:textId="77777777" w:rsidR="00881989" w:rsidRDefault="00881989"/>
    <w:p w14:paraId="000A4B4C" w14:textId="77777777" w:rsidR="00881989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5F74AEC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1989" w14:paraId="245EF2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20EF0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3CE1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59447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65EC8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EE33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F968A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7666A3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5143C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362E5F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DAD8F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17FF86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B2707A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1C605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14:paraId="5A8DFA3D" w14:textId="77777777" w:rsidR="00881989" w:rsidRDefault="00881989">
      <w:pPr>
        <w:spacing w:after="0"/>
      </w:pPr>
    </w:p>
    <w:p w14:paraId="13C5E5BB" w14:textId="77777777" w:rsidR="00881989" w:rsidRDefault="00000000">
      <w:r>
        <w:t>Zavod za hitnu medicinu Međimurske županije u 2025. godini imao je slijedeće promjene u obujmu i vrijednosti imovine:</w:t>
      </w:r>
    </w:p>
    <w:p w14:paraId="2A0AFC2B" w14:textId="77777777" w:rsidR="00881989" w:rsidRDefault="00000000">
      <w:r>
        <w:t> </w:t>
      </w:r>
    </w:p>
    <w:p w14:paraId="0278D12C" w14:textId="77777777" w:rsidR="00881989" w:rsidRDefault="00000000">
      <w:r>
        <w:t>Šifra P003– Promjene u vrijednosti imovine - smanjenje se odnosi na rashodovanje dugotrajne imovine koja ima knjigovodstvenu vrijednost prema popisu imovine 31.12.2024. godine.</w:t>
      </w:r>
    </w:p>
    <w:p w14:paraId="6FFD2666" w14:textId="77777777" w:rsidR="00881989" w:rsidRDefault="00881989"/>
    <w:p w14:paraId="5DB717B5" w14:textId="77777777" w:rsidR="00881989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541566E0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81989" w14:paraId="1962F0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87D56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D1D8A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3140C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4CCD3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2AAE4" w14:textId="77777777" w:rsidR="008819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1989" w14:paraId="5EB438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BD731" w14:textId="77777777" w:rsidR="00881989" w:rsidRDefault="008819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3B1E8F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030C8" w14:textId="77777777" w:rsidR="008819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C6AE1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D2E40" w14:textId="77777777" w:rsidR="008819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E47127" w14:textId="77777777" w:rsidR="00881989" w:rsidRDefault="00881989">
      <w:pPr>
        <w:spacing w:after="0"/>
      </w:pPr>
    </w:p>
    <w:p w14:paraId="50D5C5AD" w14:textId="77777777" w:rsidR="00881989" w:rsidRDefault="00000000">
      <w:r>
        <w:t> Obveze za zaposlene su veće u iznosu od 37.494,47 €, a sukladno proporcionalnom rastu plaća u 2025.g. Obveze za nabavu nefinancijske imovine iznose 8.601,85 €, a odnose se na nedospjeli dug za medicinsku opremu. Zavod nema dospjelih obveza.</w:t>
      </w:r>
    </w:p>
    <w:p w14:paraId="340D55E4" w14:textId="77777777" w:rsidR="00881989" w:rsidRDefault="00881989"/>
    <w:p w14:paraId="7EA4CFB6" w14:textId="77777777" w:rsidR="00881989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p w14:paraId="13C168B0" w14:textId="77777777" w:rsidR="00881989" w:rsidRDefault="00000000">
      <w:pPr>
        <w:spacing w:line="240" w:lineRule="auto"/>
        <w:jc w:val="both"/>
      </w:pPr>
      <w:r>
        <w:rPr>
          <w:b/>
        </w:rPr>
        <w:t>EU izvještaj</w:t>
      </w:r>
    </w:p>
    <w:p w14:paraId="7DD9ED3E" w14:textId="77777777" w:rsidR="00881989" w:rsidRDefault="00000000">
      <w:r>
        <w:t>Zavod za hitnu medicinu Međimurske županije u 2025. godini provodio je projekte specijalizacije medicinskih tehničara (deset specijalizanata) i doktorice medicine prema Nacionalnom programu oporavka i otpornosti te specijalizaciju doktora medicine financiranu iz Europskog socijalnog fonda plus, program Učinkoviti ljudski potencijali 2021.-2027.</w:t>
      </w:r>
    </w:p>
    <w:p w14:paraId="2C6F6467" w14:textId="77777777" w:rsidR="00881989" w:rsidRDefault="00881989"/>
    <w:sectPr w:rsidR="0088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89"/>
    <w:rsid w:val="00126840"/>
    <w:rsid w:val="002B2CD5"/>
    <w:rsid w:val="008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21DF"/>
  <w15:docId w15:val="{88568D0C-B9AA-4E78-ACB7-9B707A79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3019</Words>
  <Characters>17211</Characters>
  <Application>Microsoft Office Word</Application>
  <DocSecurity>0</DocSecurity>
  <Lines>143</Lines>
  <Paragraphs>40</Paragraphs>
  <ScaleCrop>false</ScaleCrop>
  <Company/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2026-01-30T08:59:00Z</cp:lastPrinted>
  <dcterms:created xsi:type="dcterms:W3CDTF">2026-01-30T09:00:00Z</dcterms:created>
  <dcterms:modified xsi:type="dcterms:W3CDTF">2026-01-30T09:00:00Z</dcterms:modified>
</cp:coreProperties>
</file>